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20" w:lineRule="exact"/>
        <w:jc w:val="center"/>
        <w:rPr>
          <w:rFonts w:ascii="仿宋" w:hAnsi="仿宋" w:eastAsia="仿宋" w:cs="方正小标宋简体"/>
          <w:b/>
          <w:bCs/>
          <w:kern w:val="44"/>
          <w:sz w:val="32"/>
          <w:szCs w:val="32"/>
        </w:rPr>
      </w:pPr>
      <w:bookmarkStart w:id="1" w:name="_GoBack"/>
      <w:bookmarkEnd w:id="1"/>
    </w:p>
    <w:p>
      <w:pPr>
        <w:spacing w:before="156" w:beforeLines="50" w:after="156" w:afterLines="50" w:line="620" w:lineRule="exact"/>
        <w:jc w:val="center"/>
        <w:rPr>
          <w:rFonts w:ascii="仿宋" w:hAnsi="仿宋" w:eastAsia="仿宋" w:cs="方正小标宋简体"/>
          <w:b/>
          <w:bCs/>
          <w:kern w:val="44"/>
          <w:sz w:val="32"/>
          <w:szCs w:val="32"/>
        </w:rPr>
      </w:pPr>
      <w:r>
        <w:rPr>
          <w:rFonts w:hint="eastAsia" w:ascii="仿宋" w:hAnsi="仿宋" w:eastAsia="仿宋" w:cs="方正小标宋简体"/>
          <w:b/>
          <w:bCs/>
          <w:kern w:val="44"/>
          <w:sz w:val="32"/>
          <w:szCs w:val="32"/>
        </w:rPr>
        <w:t>（红头）</w:t>
      </w:r>
    </w:p>
    <w:p>
      <w:pPr>
        <w:spacing w:before="156" w:beforeLines="50" w:after="156" w:afterLines="50" w:line="620" w:lineRule="exact"/>
        <w:jc w:val="center"/>
        <w:rPr>
          <w:rFonts w:ascii="仿宋" w:hAnsi="仿宋" w:eastAsia="仿宋" w:cs="方正小标宋简体"/>
          <w:b/>
          <w:bCs/>
          <w:kern w:val="44"/>
          <w:sz w:val="32"/>
          <w:szCs w:val="32"/>
        </w:rPr>
      </w:pPr>
    </w:p>
    <w:p>
      <w:pPr>
        <w:spacing w:before="156" w:beforeLines="50" w:after="156" w:afterLines="50" w:line="620" w:lineRule="exact"/>
        <w:jc w:val="center"/>
        <w:rPr>
          <w:rFonts w:ascii="仿宋" w:hAnsi="仿宋" w:eastAsia="仿宋" w:cs="方正小标宋简体"/>
          <w:b/>
          <w:bCs/>
          <w:kern w:val="44"/>
          <w:sz w:val="32"/>
          <w:szCs w:val="32"/>
        </w:rPr>
      </w:pPr>
    </w:p>
    <w:p>
      <w:pPr>
        <w:spacing w:before="156" w:beforeLines="50" w:after="156" w:afterLines="50" w:line="620" w:lineRule="exact"/>
        <w:jc w:val="center"/>
        <w:rPr>
          <w:rFonts w:ascii="仿宋" w:hAnsi="仿宋" w:eastAsia="仿宋" w:cs="方正小标宋简体"/>
          <w:b/>
          <w:bCs/>
          <w:kern w:val="44"/>
          <w:sz w:val="32"/>
          <w:szCs w:val="32"/>
        </w:rPr>
      </w:pPr>
      <w:r>
        <w:rPr>
          <w:rFonts w:hint="eastAsia" w:ascii="仿宋" w:hAnsi="仿宋" w:eastAsia="仿宋" w:cs="方正小标宋简体"/>
          <w:b/>
          <w:bCs/>
          <w:kern w:val="44"/>
          <w:sz w:val="32"/>
          <w:szCs w:val="32"/>
        </w:rPr>
        <w:t>福建省高校人文社会科学研究基地社会治安研究中心</w:t>
      </w:r>
      <w:r>
        <w:rPr>
          <w:rFonts w:ascii="仿宋" w:hAnsi="仿宋" w:eastAsia="仿宋" w:cs="方正小标宋简体"/>
          <w:b/>
          <w:bCs/>
          <w:kern w:val="44"/>
          <w:sz w:val="32"/>
          <w:szCs w:val="32"/>
        </w:rPr>
        <w:br w:type="textWrapping"/>
      </w:r>
      <w:r>
        <w:rPr>
          <w:rFonts w:hint="eastAsia" w:ascii="仿宋" w:hAnsi="仿宋" w:eastAsia="仿宋" w:cs="方正小标宋简体"/>
          <w:b/>
          <w:bCs/>
          <w:kern w:val="44"/>
          <w:sz w:val="32"/>
          <w:szCs w:val="32"/>
        </w:rPr>
        <w:t>2020年度开放项目立项公告</w:t>
      </w:r>
    </w:p>
    <w:p>
      <w:pPr>
        <w:pStyle w:val="5"/>
        <w:widowControl w:val="0"/>
        <w:spacing w:before="0" w:beforeAutospacing="0" w:after="0" w:afterAutospacing="0" w:line="56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经评审，福建省高校人文社会科学研究基地社会治安研究中心2020年度开放项目已正式产生，现将有关事项公告如下：</w:t>
      </w:r>
    </w:p>
    <w:p>
      <w:pPr>
        <w:pStyle w:val="5"/>
        <w:widowControl w:val="0"/>
        <w:spacing w:before="0" w:beforeAutospacing="0" w:after="0" w:afterAutospacing="0" w:line="560" w:lineRule="exact"/>
        <w:ind w:firstLine="643" w:firstLineChars="200"/>
        <w:jc w:val="both"/>
        <w:rPr>
          <w:rFonts w:ascii="仿宋" w:hAnsi="仿宋" w:eastAsia="仿宋"/>
          <w:b/>
          <w:bCs/>
          <w:sz w:val="32"/>
          <w:szCs w:val="32"/>
        </w:rPr>
      </w:pPr>
      <w:r>
        <w:rPr>
          <w:rFonts w:hint="eastAsia" w:ascii="仿宋" w:hAnsi="仿宋" w:eastAsia="仿宋"/>
          <w:b/>
          <w:bCs/>
          <w:sz w:val="32"/>
          <w:szCs w:val="32"/>
        </w:rPr>
        <w:t>一、立项项目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851"/>
        <w:gridCol w:w="47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394" w:type="dxa"/>
            <w:noWrap/>
            <w:vAlign w:val="center"/>
          </w:tcPr>
          <w:p>
            <w:pPr>
              <w:ind w:firstLine="0" w:firstLineChars="0"/>
              <w:jc w:val="center"/>
              <w:rPr>
                <w:szCs w:val="21"/>
              </w:rPr>
            </w:pPr>
            <w:r>
              <w:rPr>
                <w:rFonts w:hint="eastAsia"/>
                <w:szCs w:val="21"/>
              </w:rPr>
              <w:t>项目编号</w:t>
            </w:r>
          </w:p>
        </w:tc>
        <w:tc>
          <w:tcPr>
            <w:tcW w:w="851" w:type="dxa"/>
            <w:noWrap/>
            <w:vAlign w:val="center"/>
          </w:tcPr>
          <w:p>
            <w:pPr>
              <w:ind w:firstLine="0" w:firstLineChars="0"/>
              <w:jc w:val="center"/>
              <w:rPr>
                <w:szCs w:val="21"/>
              </w:rPr>
            </w:pPr>
            <w:r>
              <w:rPr>
                <w:rFonts w:hint="eastAsia"/>
                <w:szCs w:val="21"/>
              </w:rPr>
              <w:t>负责人</w:t>
            </w:r>
          </w:p>
        </w:tc>
        <w:tc>
          <w:tcPr>
            <w:tcW w:w="4718" w:type="dxa"/>
            <w:noWrap/>
            <w:vAlign w:val="center"/>
          </w:tcPr>
          <w:p>
            <w:pPr>
              <w:ind w:firstLine="0" w:firstLineChars="0"/>
              <w:jc w:val="center"/>
              <w:rPr>
                <w:szCs w:val="21"/>
              </w:rPr>
            </w:pPr>
            <w:r>
              <w:rPr>
                <w:rFonts w:hint="eastAsia"/>
                <w:szCs w:val="21"/>
              </w:rPr>
              <w:t>项目名称</w:t>
            </w:r>
          </w:p>
        </w:tc>
        <w:tc>
          <w:tcPr>
            <w:tcW w:w="1134" w:type="dxa"/>
            <w:noWrap/>
            <w:vAlign w:val="center"/>
          </w:tcPr>
          <w:p>
            <w:pPr>
              <w:ind w:firstLine="0" w:firstLineChars="0"/>
              <w:jc w:val="center"/>
              <w:rPr>
                <w:szCs w:val="21"/>
              </w:rPr>
            </w:pPr>
            <w:r>
              <w:rPr>
                <w:rFonts w:hint="eastAsia"/>
                <w:szCs w:val="21"/>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A</w:t>
            </w:r>
            <w:r>
              <w:rPr>
                <w:rFonts w:hint="eastAsia"/>
                <w:szCs w:val="21"/>
              </w:rPr>
              <w:t>01</w:t>
            </w:r>
          </w:p>
        </w:tc>
        <w:tc>
          <w:tcPr>
            <w:tcW w:w="851" w:type="dxa"/>
            <w:noWrap/>
            <w:vAlign w:val="center"/>
          </w:tcPr>
          <w:p>
            <w:pPr>
              <w:ind w:firstLine="0" w:firstLineChars="0"/>
              <w:jc w:val="center"/>
              <w:rPr>
                <w:szCs w:val="21"/>
              </w:rPr>
            </w:pPr>
            <w:r>
              <w:rPr>
                <w:rFonts w:hint="eastAsia"/>
                <w:szCs w:val="21"/>
              </w:rPr>
              <w:t>张叔平</w:t>
            </w:r>
          </w:p>
        </w:tc>
        <w:tc>
          <w:tcPr>
            <w:tcW w:w="4718" w:type="dxa"/>
            <w:noWrap/>
            <w:vAlign w:val="center"/>
          </w:tcPr>
          <w:p>
            <w:pPr>
              <w:ind w:firstLine="0" w:firstLineChars="0"/>
              <w:rPr>
                <w:szCs w:val="21"/>
              </w:rPr>
            </w:pPr>
            <w:r>
              <w:rPr>
                <w:rFonts w:hint="eastAsia"/>
                <w:szCs w:val="21"/>
              </w:rPr>
              <w:t>台湾百年</w:t>
            </w:r>
            <w:bookmarkStart w:id="0" w:name="_Hlk59481595"/>
            <w:r>
              <w:rPr>
                <w:rFonts w:hint="eastAsia"/>
                <w:szCs w:val="21"/>
              </w:rPr>
              <w:t>警政研究</w:t>
            </w:r>
            <w:bookmarkEnd w:id="0"/>
          </w:p>
        </w:tc>
        <w:tc>
          <w:tcPr>
            <w:tcW w:w="1134" w:type="dxa"/>
            <w:noWrap/>
            <w:vAlign w:val="center"/>
          </w:tcPr>
          <w:p>
            <w:pPr>
              <w:ind w:firstLine="0" w:firstLineChars="0"/>
              <w:jc w:val="center"/>
              <w:rPr>
                <w:szCs w:val="21"/>
              </w:rPr>
            </w:pPr>
            <w:r>
              <w:rPr>
                <w:rFonts w:hint="eastAsia"/>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A</w:t>
            </w:r>
            <w:r>
              <w:rPr>
                <w:rFonts w:hint="eastAsia"/>
                <w:szCs w:val="21"/>
              </w:rPr>
              <w:t>02</w:t>
            </w:r>
          </w:p>
        </w:tc>
        <w:tc>
          <w:tcPr>
            <w:tcW w:w="851" w:type="dxa"/>
            <w:noWrap/>
            <w:vAlign w:val="center"/>
          </w:tcPr>
          <w:p>
            <w:pPr>
              <w:ind w:firstLine="0" w:firstLineChars="0"/>
              <w:jc w:val="center"/>
              <w:rPr>
                <w:szCs w:val="21"/>
              </w:rPr>
            </w:pPr>
            <w:r>
              <w:rPr>
                <w:rFonts w:hint="eastAsia"/>
                <w:szCs w:val="21"/>
              </w:rPr>
              <w:t xml:space="preserve">李 </w:t>
            </w:r>
            <w:r>
              <w:rPr>
                <w:szCs w:val="21"/>
              </w:rPr>
              <w:t xml:space="preserve"> </w:t>
            </w:r>
            <w:r>
              <w:rPr>
                <w:rFonts w:hint="eastAsia"/>
                <w:szCs w:val="21"/>
              </w:rPr>
              <w:t>娜</w:t>
            </w:r>
          </w:p>
        </w:tc>
        <w:tc>
          <w:tcPr>
            <w:tcW w:w="4718" w:type="dxa"/>
            <w:noWrap/>
            <w:vAlign w:val="center"/>
          </w:tcPr>
          <w:p>
            <w:pPr>
              <w:ind w:firstLine="0" w:firstLineChars="0"/>
              <w:rPr>
                <w:szCs w:val="21"/>
              </w:rPr>
            </w:pPr>
            <w:r>
              <w:rPr>
                <w:rFonts w:hint="eastAsia"/>
                <w:szCs w:val="21"/>
              </w:rPr>
              <w:t>典型信控平交口非机动车候驶区设置研究</w:t>
            </w:r>
          </w:p>
        </w:tc>
        <w:tc>
          <w:tcPr>
            <w:tcW w:w="1134" w:type="dxa"/>
            <w:noWrap/>
            <w:vAlign w:val="center"/>
          </w:tcPr>
          <w:p>
            <w:pPr>
              <w:ind w:firstLine="0" w:firstLineChars="0"/>
              <w:jc w:val="center"/>
              <w:rPr>
                <w:szCs w:val="21"/>
              </w:rPr>
            </w:pPr>
            <w:r>
              <w:rPr>
                <w:rFonts w:hint="eastAsia"/>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A</w:t>
            </w:r>
            <w:r>
              <w:rPr>
                <w:rFonts w:hint="eastAsia"/>
                <w:szCs w:val="21"/>
              </w:rPr>
              <w:t>03</w:t>
            </w:r>
          </w:p>
        </w:tc>
        <w:tc>
          <w:tcPr>
            <w:tcW w:w="851" w:type="dxa"/>
            <w:noWrap/>
            <w:vAlign w:val="center"/>
          </w:tcPr>
          <w:p>
            <w:pPr>
              <w:ind w:firstLine="0" w:firstLineChars="0"/>
              <w:jc w:val="center"/>
              <w:rPr>
                <w:szCs w:val="21"/>
              </w:rPr>
            </w:pPr>
            <w:r>
              <w:rPr>
                <w:rFonts w:hint="eastAsia"/>
                <w:szCs w:val="21"/>
              </w:rPr>
              <w:t>张美璟</w:t>
            </w:r>
          </w:p>
        </w:tc>
        <w:tc>
          <w:tcPr>
            <w:tcW w:w="4718" w:type="dxa"/>
            <w:noWrap/>
            <w:vAlign w:val="center"/>
          </w:tcPr>
          <w:p>
            <w:pPr>
              <w:ind w:firstLine="0" w:firstLineChars="0"/>
              <w:rPr>
                <w:szCs w:val="21"/>
              </w:rPr>
            </w:pPr>
            <w:r>
              <w:rPr>
                <w:rFonts w:hint="eastAsia"/>
                <w:szCs w:val="21"/>
              </w:rPr>
              <w:t>新时代治安综合治理背景下基于知识图谱的社区犯罪防控技术研究</w:t>
            </w:r>
          </w:p>
        </w:tc>
        <w:tc>
          <w:tcPr>
            <w:tcW w:w="1134" w:type="dxa"/>
            <w:noWrap/>
            <w:vAlign w:val="center"/>
          </w:tcPr>
          <w:p>
            <w:pPr>
              <w:ind w:firstLine="0" w:firstLineChars="0"/>
              <w:jc w:val="center"/>
              <w:rPr>
                <w:szCs w:val="21"/>
              </w:rPr>
            </w:pPr>
            <w:r>
              <w:rPr>
                <w:rFonts w:hint="eastAsia"/>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B</w:t>
            </w:r>
            <w:r>
              <w:rPr>
                <w:rFonts w:hint="eastAsia"/>
                <w:szCs w:val="21"/>
              </w:rPr>
              <w:t>01</w:t>
            </w:r>
          </w:p>
        </w:tc>
        <w:tc>
          <w:tcPr>
            <w:tcW w:w="851" w:type="dxa"/>
            <w:noWrap/>
            <w:vAlign w:val="center"/>
          </w:tcPr>
          <w:p>
            <w:pPr>
              <w:ind w:firstLine="0" w:firstLineChars="0"/>
              <w:jc w:val="center"/>
              <w:rPr>
                <w:szCs w:val="21"/>
              </w:rPr>
            </w:pPr>
            <w:r>
              <w:rPr>
                <w:rFonts w:hint="eastAsia"/>
                <w:szCs w:val="21"/>
              </w:rPr>
              <w:t>肖寿华</w:t>
            </w:r>
          </w:p>
        </w:tc>
        <w:tc>
          <w:tcPr>
            <w:tcW w:w="4718" w:type="dxa"/>
            <w:noWrap/>
            <w:vAlign w:val="center"/>
          </w:tcPr>
          <w:p>
            <w:pPr>
              <w:ind w:firstLine="0" w:firstLineChars="0"/>
              <w:rPr>
                <w:szCs w:val="21"/>
              </w:rPr>
            </w:pPr>
            <w:r>
              <w:rPr>
                <w:rFonts w:hint="eastAsia"/>
                <w:szCs w:val="21"/>
              </w:rPr>
              <w:t>生物特征识别技术应用安全问题研究</w:t>
            </w:r>
          </w:p>
        </w:tc>
        <w:tc>
          <w:tcPr>
            <w:tcW w:w="1134" w:type="dxa"/>
            <w:noWrap/>
            <w:vAlign w:val="center"/>
          </w:tcPr>
          <w:p>
            <w:pPr>
              <w:ind w:firstLine="0" w:firstLineChars="0"/>
              <w:jc w:val="center"/>
              <w:rPr>
                <w:szCs w:val="21"/>
              </w:rPr>
            </w:pPr>
            <w:r>
              <w:rPr>
                <w:rFonts w:hint="eastAsia"/>
                <w:szCs w:val="21"/>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B</w:t>
            </w:r>
            <w:r>
              <w:rPr>
                <w:rFonts w:hint="eastAsia"/>
                <w:szCs w:val="21"/>
              </w:rPr>
              <w:t>0</w:t>
            </w:r>
            <w:r>
              <w:rPr>
                <w:szCs w:val="21"/>
              </w:rPr>
              <w:t>2</w:t>
            </w:r>
          </w:p>
        </w:tc>
        <w:tc>
          <w:tcPr>
            <w:tcW w:w="851" w:type="dxa"/>
            <w:noWrap/>
            <w:vAlign w:val="center"/>
          </w:tcPr>
          <w:p>
            <w:pPr>
              <w:ind w:firstLine="0" w:firstLineChars="0"/>
              <w:jc w:val="center"/>
              <w:rPr>
                <w:szCs w:val="21"/>
              </w:rPr>
            </w:pPr>
            <w:r>
              <w:rPr>
                <w:rFonts w:hint="eastAsia"/>
                <w:szCs w:val="21"/>
              </w:rPr>
              <w:t>李向玉</w:t>
            </w:r>
          </w:p>
        </w:tc>
        <w:tc>
          <w:tcPr>
            <w:tcW w:w="4718" w:type="dxa"/>
            <w:noWrap/>
            <w:vAlign w:val="center"/>
          </w:tcPr>
          <w:p>
            <w:pPr>
              <w:ind w:firstLine="0" w:firstLineChars="0"/>
              <w:rPr>
                <w:szCs w:val="21"/>
              </w:rPr>
            </w:pPr>
            <w:r>
              <w:rPr>
                <w:rFonts w:hint="eastAsia"/>
                <w:szCs w:val="21"/>
              </w:rPr>
              <w:t>平安中国建设背景下后疫情期社会治安风险防范与治理策略研究</w:t>
            </w:r>
          </w:p>
        </w:tc>
        <w:tc>
          <w:tcPr>
            <w:tcW w:w="1134" w:type="dxa"/>
            <w:noWrap/>
            <w:vAlign w:val="center"/>
          </w:tcPr>
          <w:p>
            <w:pPr>
              <w:ind w:firstLine="0" w:firstLineChars="0"/>
              <w:jc w:val="center"/>
              <w:rPr>
                <w:szCs w:val="21"/>
              </w:rPr>
            </w:pPr>
            <w:r>
              <w:rPr>
                <w:rFonts w:hint="eastAsia"/>
                <w:szCs w:val="21"/>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B</w:t>
            </w:r>
            <w:r>
              <w:rPr>
                <w:rFonts w:hint="eastAsia"/>
                <w:szCs w:val="21"/>
              </w:rPr>
              <w:t>0</w:t>
            </w:r>
            <w:r>
              <w:rPr>
                <w:szCs w:val="21"/>
              </w:rPr>
              <w:t>3</w:t>
            </w:r>
          </w:p>
        </w:tc>
        <w:tc>
          <w:tcPr>
            <w:tcW w:w="851" w:type="dxa"/>
            <w:noWrap/>
            <w:vAlign w:val="center"/>
          </w:tcPr>
          <w:p>
            <w:pPr>
              <w:ind w:firstLine="0" w:firstLineChars="0"/>
              <w:jc w:val="center"/>
              <w:rPr>
                <w:szCs w:val="21"/>
              </w:rPr>
            </w:pPr>
            <w:r>
              <w:rPr>
                <w:rFonts w:hint="eastAsia"/>
                <w:szCs w:val="21"/>
              </w:rPr>
              <w:t>欧丽云</w:t>
            </w:r>
          </w:p>
        </w:tc>
        <w:tc>
          <w:tcPr>
            <w:tcW w:w="4718" w:type="dxa"/>
            <w:noWrap/>
            <w:vAlign w:val="center"/>
          </w:tcPr>
          <w:p>
            <w:pPr>
              <w:ind w:firstLine="0" w:firstLineChars="0"/>
              <w:rPr>
                <w:szCs w:val="21"/>
              </w:rPr>
            </w:pPr>
            <w:r>
              <w:rPr>
                <w:rFonts w:hint="eastAsia"/>
                <w:szCs w:val="21"/>
              </w:rPr>
              <w:t>基于计划行为理论的分心驾驶行为分析</w:t>
            </w:r>
          </w:p>
        </w:tc>
        <w:tc>
          <w:tcPr>
            <w:tcW w:w="1134" w:type="dxa"/>
            <w:noWrap/>
            <w:vAlign w:val="center"/>
          </w:tcPr>
          <w:p>
            <w:pPr>
              <w:ind w:firstLine="0" w:firstLineChars="0"/>
              <w:jc w:val="center"/>
              <w:rPr>
                <w:szCs w:val="21"/>
              </w:rPr>
            </w:pPr>
            <w:r>
              <w:rPr>
                <w:rFonts w:hint="eastAsia"/>
                <w:szCs w:val="21"/>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B</w:t>
            </w:r>
            <w:r>
              <w:rPr>
                <w:rFonts w:hint="eastAsia"/>
                <w:szCs w:val="21"/>
              </w:rPr>
              <w:t>0</w:t>
            </w:r>
            <w:r>
              <w:rPr>
                <w:szCs w:val="21"/>
              </w:rPr>
              <w:t>4</w:t>
            </w:r>
          </w:p>
        </w:tc>
        <w:tc>
          <w:tcPr>
            <w:tcW w:w="851" w:type="dxa"/>
            <w:noWrap/>
            <w:vAlign w:val="center"/>
          </w:tcPr>
          <w:p>
            <w:pPr>
              <w:ind w:firstLine="0" w:firstLineChars="0"/>
              <w:jc w:val="center"/>
              <w:rPr>
                <w:szCs w:val="21"/>
              </w:rPr>
            </w:pPr>
            <w:r>
              <w:rPr>
                <w:rFonts w:hint="eastAsia"/>
                <w:szCs w:val="21"/>
              </w:rPr>
              <w:t>陈晗婧</w:t>
            </w:r>
          </w:p>
        </w:tc>
        <w:tc>
          <w:tcPr>
            <w:tcW w:w="4718" w:type="dxa"/>
            <w:noWrap/>
            <w:vAlign w:val="center"/>
          </w:tcPr>
          <w:p>
            <w:pPr>
              <w:ind w:firstLine="0" w:firstLineChars="0"/>
              <w:rPr>
                <w:szCs w:val="21"/>
              </w:rPr>
            </w:pPr>
            <w:r>
              <w:rPr>
                <w:rFonts w:hint="eastAsia"/>
                <w:szCs w:val="21"/>
              </w:rPr>
              <w:t>福建省基层公安机关涉外治安管理能力提升研究</w:t>
            </w:r>
          </w:p>
        </w:tc>
        <w:tc>
          <w:tcPr>
            <w:tcW w:w="1134" w:type="dxa"/>
            <w:noWrap/>
            <w:vAlign w:val="center"/>
          </w:tcPr>
          <w:p>
            <w:pPr>
              <w:ind w:firstLine="0" w:firstLineChars="0"/>
              <w:jc w:val="center"/>
              <w:rPr>
                <w:szCs w:val="21"/>
              </w:rPr>
            </w:pPr>
            <w:r>
              <w:rPr>
                <w:rFonts w:hint="eastAsia"/>
                <w:szCs w:val="21"/>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B</w:t>
            </w:r>
            <w:r>
              <w:rPr>
                <w:rFonts w:hint="eastAsia"/>
                <w:szCs w:val="21"/>
              </w:rPr>
              <w:t>0</w:t>
            </w:r>
            <w:r>
              <w:rPr>
                <w:szCs w:val="21"/>
              </w:rPr>
              <w:t>5</w:t>
            </w:r>
          </w:p>
        </w:tc>
        <w:tc>
          <w:tcPr>
            <w:tcW w:w="851" w:type="dxa"/>
            <w:noWrap/>
            <w:vAlign w:val="center"/>
          </w:tcPr>
          <w:p>
            <w:pPr>
              <w:ind w:firstLine="0" w:firstLineChars="0"/>
              <w:jc w:val="center"/>
              <w:rPr>
                <w:szCs w:val="21"/>
              </w:rPr>
            </w:pPr>
            <w:r>
              <w:rPr>
                <w:rFonts w:hint="eastAsia"/>
                <w:szCs w:val="21"/>
              </w:rPr>
              <w:t xml:space="preserve">刘 </w:t>
            </w:r>
            <w:r>
              <w:rPr>
                <w:szCs w:val="21"/>
              </w:rPr>
              <w:t xml:space="preserve"> </w:t>
            </w:r>
            <w:r>
              <w:rPr>
                <w:rFonts w:hint="eastAsia"/>
                <w:szCs w:val="21"/>
              </w:rPr>
              <w:t>韵</w:t>
            </w:r>
          </w:p>
        </w:tc>
        <w:tc>
          <w:tcPr>
            <w:tcW w:w="4718" w:type="dxa"/>
            <w:noWrap/>
            <w:vAlign w:val="center"/>
          </w:tcPr>
          <w:p>
            <w:pPr>
              <w:ind w:firstLine="0" w:firstLineChars="0"/>
              <w:rPr>
                <w:szCs w:val="21"/>
              </w:rPr>
            </w:pPr>
            <w:r>
              <w:rPr>
                <w:rFonts w:hint="eastAsia"/>
                <w:szCs w:val="21"/>
              </w:rPr>
              <w:t>道路交通安全视域下的非机动车路权保障研究</w:t>
            </w:r>
          </w:p>
        </w:tc>
        <w:tc>
          <w:tcPr>
            <w:tcW w:w="1134" w:type="dxa"/>
            <w:noWrap/>
            <w:vAlign w:val="center"/>
          </w:tcPr>
          <w:p>
            <w:pPr>
              <w:ind w:firstLine="0" w:firstLineChars="0"/>
              <w:jc w:val="center"/>
              <w:rPr>
                <w:szCs w:val="21"/>
              </w:rPr>
            </w:pPr>
            <w:r>
              <w:rPr>
                <w:rFonts w:hint="eastAsia"/>
                <w:szCs w:val="21"/>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B</w:t>
            </w:r>
            <w:r>
              <w:rPr>
                <w:rFonts w:hint="eastAsia"/>
                <w:szCs w:val="21"/>
              </w:rPr>
              <w:t>0</w:t>
            </w:r>
            <w:r>
              <w:rPr>
                <w:szCs w:val="21"/>
              </w:rPr>
              <w:t>6</w:t>
            </w:r>
          </w:p>
        </w:tc>
        <w:tc>
          <w:tcPr>
            <w:tcW w:w="851" w:type="dxa"/>
            <w:noWrap/>
            <w:vAlign w:val="center"/>
          </w:tcPr>
          <w:p>
            <w:pPr>
              <w:ind w:firstLine="0" w:firstLineChars="0"/>
              <w:jc w:val="center"/>
              <w:rPr>
                <w:szCs w:val="21"/>
              </w:rPr>
            </w:pPr>
            <w:r>
              <w:rPr>
                <w:rFonts w:hint="eastAsia"/>
                <w:szCs w:val="21"/>
              </w:rPr>
              <w:t xml:space="preserve">林 </w:t>
            </w:r>
            <w:r>
              <w:rPr>
                <w:szCs w:val="21"/>
              </w:rPr>
              <w:t xml:space="preserve"> </w:t>
            </w:r>
            <w:r>
              <w:rPr>
                <w:rFonts w:hint="eastAsia"/>
                <w:szCs w:val="21"/>
              </w:rPr>
              <w:t>翔</w:t>
            </w:r>
          </w:p>
        </w:tc>
        <w:tc>
          <w:tcPr>
            <w:tcW w:w="4718" w:type="dxa"/>
            <w:noWrap/>
            <w:vAlign w:val="center"/>
          </w:tcPr>
          <w:p>
            <w:pPr>
              <w:ind w:firstLine="0" w:firstLineChars="0"/>
              <w:rPr>
                <w:szCs w:val="21"/>
              </w:rPr>
            </w:pPr>
            <w:r>
              <w:rPr>
                <w:rFonts w:hint="eastAsia"/>
                <w:szCs w:val="21"/>
              </w:rPr>
              <w:t>突发公共卫生事件中涉警网络舆情应对策略研究</w:t>
            </w:r>
          </w:p>
        </w:tc>
        <w:tc>
          <w:tcPr>
            <w:tcW w:w="1134" w:type="dxa"/>
            <w:noWrap/>
            <w:vAlign w:val="center"/>
          </w:tcPr>
          <w:p>
            <w:pPr>
              <w:ind w:firstLine="0" w:firstLineChars="0"/>
              <w:jc w:val="center"/>
              <w:rPr>
                <w:szCs w:val="21"/>
              </w:rPr>
            </w:pPr>
            <w:r>
              <w:rPr>
                <w:rFonts w:hint="eastAsia"/>
                <w:szCs w:val="21"/>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B</w:t>
            </w:r>
            <w:r>
              <w:rPr>
                <w:rFonts w:hint="eastAsia"/>
                <w:szCs w:val="21"/>
              </w:rPr>
              <w:t>0</w:t>
            </w:r>
            <w:r>
              <w:rPr>
                <w:szCs w:val="21"/>
              </w:rPr>
              <w:t>7</w:t>
            </w:r>
          </w:p>
        </w:tc>
        <w:tc>
          <w:tcPr>
            <w:tcW w:w="851" w:type="dxa"/>
            <w:noWrap/>
            <w:vAlign w:val="center"/>
          </w:tcPr>
          <w:p>
            <w:pPr>
              <w:ind w:firstLine="0" w:firstLineChars="0"/>
              <w:jc w:val="center"/>
              <w:rPr>
                <w:szCs w:val="21"/>
              </w:rPr>
            </w:pPr>
            <w:r>
              <w:rPr>
                <w:rFonts w:hint="eastAsia"/>
                <w:szCs w:val="21"/>
              </w:rPr>
              <w:t>胡玉娟</w:t>
            </w:r>
          </w:p>
        </w:tc>
        <w:tc>
          <w:tcPr>
            <w:tcW w:w="4718" w:type="dxa"/>
            <w:noWrap/>
            <w:vAlign w:val="center"/>
          </w:tcPr>
          <w:p>
            <w:pPr>
              <w:ind w:firstLine="0" w:firstLineChars="0"/>
              <w:rPr>
                <w:szCs w:val="21"/>
              </w:rPr>
            </w:pPr>
            <w:r>
              <w:rPr>
                <w:rFonts w:hint="eastAsia"/>
                <w:szCs w:val="21"/>
              </w:rPr>
              <w:t>基于情景构建理论的民用爆炸物品储存环节应急管理研究</w:t>
            </w:r>
          </w:p>
        </w:tc>
        <w:tc>
          <w:tcPr>
            <w:tcW w:w="1134" w:type="dxa"/>
            <w:noWrap/>
            <w:vAlign w:val="center"/>
          </w:tcPr>
          <w:p>
            <w:pPr>
              <w:ind w:firstLine="0" w:firstLineChars="0"/>
              <w:jc w:val="center"/>
              <w:rPr>
                <w:szCs w:val="21"/>
              </w:rPr>
            </w:pPr>
            <w:r>
              <w:rPr>
                <w:rFonts w:hint="eastAsia"/>
                <w:szCs w:val="21"/>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B</w:t>
            </w:r>
            <w:r>
              <w:rPr>
                <w:rFonts w:hint="eastAsia"/>
                <w:szCs w:val="21"/>
              </w:rPr>
              <w:t>0</w:t>
            </w:r>
            <w:r>
              <w:rPr>
                <w:szCs w:val="21"/>
              </w:rPr>
              <w:t>8</w:t>
            </w:r>
          </w:p>
        </w:tc>
        <w:tc>
          <w:tcPr>
            <w:tcW w:w="851" w:type="dxa"/>
            <w:noWrap/>
            <w:vAlign w:val="center"/>
          </w:tcPr>
          <w:p>
            <w:pPr>
              <w:ind w:firstLine="0" w:firstLineChars="0"/>
              <w:jc w:val="center"/>
              <w:rPr>
                <w:szCs w:val="21"/>
              </w:rPr>
            </w:pPr>
            <w:r>
              <w:rPr>
                <w:rFonts w:hint="eastAsia"/>
                <w:szCs w:val="21"/>
              </w:rPr>
              <w:t>林晓萍</w:t>
            </w:r>
          </w:p>
        </w:tc>
        <w:tc>
          <w:tcPr>
            <w:tcW w:w="4718" w:type="dxa"/>
            <w:noWrap/>
            <w:vAlign w:val="center"/>
          </w:tcPr>
          <w:p>
            <w:pPr>
              <w:ind w:firstLine="0" w:firstLineChars="0"/>
              <w:rPr>
                <w:szCs w:val="21"/>
              </w:rPr>
            </w:pPr>
            <w:r>
              <w:rPr>
                <w:rFonts w:hint="eastAsia"/>
                <w:szCs w:val="21"/>
              </w:rPr>
              <w:t>新时代“漳州110”警务机制改革研究</w:t>
            </w:r>
          </w:p>
        </w:tc>
        <w:tc>
          <w:tcPr>
            <w:tcW w:w="1134" w:type="dxa"/>
            <w:noWrap/>
            <w:vAlign w:val="center"/>
          </w:tcPr>
          <w:p>
            <w:pPr>
              <w:ind w:firstLine="0" w:firstLineChars="0"/>
              <w:jc w:val="center"/>
              <w:rPr>
                <w:szCs w:val="21"/>
              </w:rPr>
            </w:pPr>
            <w:r>
              <w:rPr>
                <w:rFonts w:hint="eastAsia"/>
                <w:szCs w:val="21"/>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B</w:t>
            </w:r>
            <w:r>
              <w:rPr>
                <w:rFonts w:hint="eastAsia"/>
                <w:szCs w:val="21"/>
              </w:rPr>
              <w:t>0</w:t>
            </w:r>
            <w:r>
              <w:rPr>
                <w:szCs w:val="21"/>
              </w:rPr>
              <w:t>9</w:t>
            </w:r>
          </w:p>
        </w:tc>
        <w:tc>
          <w:tcPr>
            <w:tcW w:w="851" w:type="dxa"/>
            <w:noWrap/>
            <w:vAlign w:val="center"/>
          </w:tcPr>
          <w:p>
            <w:pPr>
              <w:ind w:firstLine="0" w:firstLineChars="0"/>
              <w:jc w:val="center"/>
              <w:rPr>
                <w:szCs w:val="21"/>
              </w:rPr>
            </w:pPr>
            <w:r>
              <w:rPr>
                <w:rFonts w:hint="eastAsia"/>
                <w:szCs w:val="21"/>
              </w:rPr>
              <w:t>谢秋玲</w:t>
            </w:r>
          </w:p>
        </w:tc>
        <w:tc>
          <w:tcPr>
            <w:tcW w:w="4718" w:type="dxa"/>
            <w:noWrap/>
            <w:vAlign w:val="center"/>
          </w:tcPr>
          <w:p>
            <w:pPr>
              <w:ind w:firstLine="0" w:firstLineChars="0"/>
              <w:rPr>
                <w:szCs w:val="21"/>
              </w:rPr>
            </w:pPr>
            <w:r>
              <w:rPr>
                <w:rFonts w:hint="eastAsia"/>
                <w:szCs w:val="21"/>
              </w:rPr>
              <w:t>智慧社会视阈下基层治理的法治化</w:t>
            </w:r>
          </w:p>
        </w:tc>
        <w:tc>
          <w:tcPr>
            <w:tcW w:w="1134" w:type="dxa"/>
            <w:noWrap/>
            <w:vAlign w:val="center"/>
          </w:tcPr>
          <w:p>
            <w:pPr>
              <w:ind w:firstLine="0" w:firstLineChars="0"/>
              <w:jc w:val="center"/>
              <w:rPr>
                <w:szCs w:val="21"/>
              </w:rPr>
            </w:pPr>
            <w:r>
              <w:rPr>
                <w:rFonts w:hint="eastAsia"/>
                <w:szCs w:val="21"/>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C</w:t>
            </w:r>
            <w:r>
              <w:rPr>
                <w:rFonts w:hint="eastAsia"/>
                <w:szCs w:val="21"/>
              </w:rPr>
              <w:t>01</w:t>
            </w:r>
          </w:p>
        </w:tc>
        <w:tc>
          <w:tcPr>
            <w:tcW w:w="851" w:type="dxa"/>
            <w:noWrap/>
            <w:vAlign w:val="center"/>
          </w:tcPr>
          <w:p>
            <w:pPr>
              <w:ind w:firstLine="0" w:firstLineChars="0"/>
              <w:jc w:val="center"/>
              <w:rPr>
                <w:szCs w:val="21"/>
              </w:rPr>
            </w:pPr>
            <w:r>
              <w:rPr>
                <w:rFonts w:hint="eastAsia"/>
                <w:szCs w:val="21"/>
              </w:rPr>
              <w:t xml:space="preserve">张 </w:t>
            </w:r>
            <w:r>
              <w:rPr>
                <w:szCs w:val="21"/>
              </w:rPr>
              <w:t xml:space="preserve"> </w:t>
            </w:r>
            <w:r>
              <w:rPr>
                <w:rFonts w:hint="eastAsia"/>
                <w:szCs w:val="21"/>
              </w:rPr>
              <w:t>翼</w:t>
            </w:r>
          </w:p>
        </w:tc>
        <w:tc>
          <w:tcPr>
            <w:tcW w:w="4718" w:type="dxa"/>
            <w:noWrap/>
            <w:vAlign w:val="center"/>
          </w:tcPr>
          <w:p>
            <w:pPr>
              <w:ind w:firstLine="0" w:firstLineChars="0"/>
              <w:rPr>
                <w:szCs w:val="21"/>
              </w:rPr>
            </w:pPr>
            <w:r>
              <w:rPr>
                <w:rFonts w:hint="eastAsia"/>
                <w:szCs w:val="21"/>
              </w:rPr>
              <w:t>“枫桥经验”在创建平安福建公安工作中的实际应用与时代价值</w:t>
            </w:r>
          </w:p>
        </w:tc>
        <w:tc>
          <w:tcPr>
            <w:tcW w:w="1134" w:type="dxa"/>
            <w:noWrap/>
            <w:vAlign w:val="center"/>
          </w:tcPr>
          <w:p>
            <w:pPr>
              <w:ind w:firstLine="0" w:firstLineChars="0"/>
              <w:jc w:val="center"/>
              <w:rPr>
                <w:szCs w:val="21"/>
              </w:rPr>
            </w:pPr>
            <w:r>
              <w:rPr>
                <w:rFonts w:hint="eastAsia"/>
                <w:szCs w:val="21"/>
              </w:rPr>
              <w:t>自选项目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C</w:t>
            </w:r>
            <w:r>
              <w:rPr>
                <w:rFonts w:hint="eastAsia"/>
                <w:szCs w:val="21"/>
              </w:rPr>
              <w:t>0</w:t>
            </w:r>
            <w:r>
              <w:rPr>
                <w:szCs w:val="21"/>
              </w:rPr>
              <w:t>2</w:t>
            </w:r>
          </w:p>
        </w:tc>
        <w:tc>
          <w:tcPr>
            <w:tcW w:w="851" w:type="dxa"/>
            <w:noWrap/>
            <w:vAlign w:val="center"/>
          </w:tcPr>
          <w:p>
            <w:pPr>
              <w:ind w:firstLine="0" w:firstLineChars="0"/>
              <w:jc w:val="center"/>
              <w:rPr>
                <w:szCs w:val="21"/>
              </w:rPr>
            </w:pPr>
            <w:r>
              <w:rPr>
                <w:rFonts w:hint="eastAsia"/>
                <w:szCs w:val="21"/>
              </w:rPr>
              <w:t>陈丽静</w:t>
            </w:r>
          </w:p>
        </w:tc>
        <w:tc>
          <w:tcPr>
            <w:tcW w:w="4718" w:type="dxa"/>
            <w:noWrap/>
            <w:vAlign w:val="center"/>
          </w:tcPr>
          <w:p>
            <w:pPr>
              <w:ind w:firstLine="0" w:firstLineChars="0"/>
              <w:rPr>
                <w:szCs w:val="21"/>
              </w:rPr>
            </w:pPr>
            <w:r>
              <w:rPr>
                <w:rFonts w:hint="eastAsia"/>
                <w:szCs w:val="21"/>
              </w:rPr>
              <w:t>机动车驾驶人不良驾驶行为源头管理研究</w:t>
            </w:r>
          </w:p>
        </w:tc>
        <w:tc>
          <w:tcPr>
            <w:tcW w:w="1134" w:type="dxa"/>
            <w:noWrap/>
            <w:vAlign w:val="center"/>
          </w:tcPr>
          <w:p>
            <w:pPr>
              <w:ind w:firstLine="0" w:firstLineChars="0"/>
              <w:jc w:val="center"/>
              <w:rPr>
                <w:szCs w:val="21"/>
              </w:rPr>
            </w:pPr>
            <w:r>
              <w:rPr>
                <w:rFonts w:hint="eastAsia"/>
                <w:szCs w:val="21"/>
              </w:rPr>
              <w:t>自选项目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C</w:t>
            </w:r>
            <w:r>
              <w:rPr>
                <w:rFonts w:hint="eastAsia"/>
                <w:szCs w:val="21"/>
              </w:rPr>
              <w:t>0</w:t>
            </w:r>
            <w:r>
              <w:rPr>
                <w:szCs w:val="21"/>
              </w:rPr>
              <w:t>3</w:t>
            </w:r>
          </w:p>
        </w:tc>
        <w:tc>
          <w:tcPr>
            <w:tcW w:w="851" w:type="dxa"/>
            <w:noWrap/>
            <w:vAlign w:val="center"/>
          </w:tcPr>
          <w:p>
            <w:pPr>
              <w:ind w:firstLine="0" w:firstLineChars="0"/>
              <w:jc w:val="center"/>
              <w:rPr>
                <w:szCs w:val="21"/>
              </w:rPr>
            </w:pPr>
            <w:r>
              <w:rPr>
                <w:rFonts w:hint="eastAsia"/>
                <w:szCs w:val="21"/>
              </w:rPr>
              <w:t xml:space="preserve">孙 </w:t>
            </w:r>
            <w:r>
              <w:rPr>
                <w:szCs w:val="21"/>
              </w:rPr>
              <w:t xml:space="preserve"> </w:t>
            </w:r>
            <w:r>
              <w:rPr>
                <w:rFonts w:hint="eastAsia"/>
                <w:szCs w:val="21"/>
              </w:rPr>
              <w:t>健</w:t>
            </w:r>
          </w:p>
        </w:tc>
        <w:tc>
          <w:tcPr>
            <w:tcW w:w="4718" w:type="dxa"/>
            <w:noWrap/>
            <w:vAlign w:val="center"/>
          </w:tcPr>
          <w:p>
            <w:pPr>
              <w:ind w:firstLine="0" w:firstLineChars="0"/>
              <w:rPr>
                <w:szCs w:val="21"/>
              </w:rPr>
            </w:pPr>
            <w:r>
              <w:rPr>
                <w:rFonts w:hint="eastAsia"/>
                <w:szCs w:val="21"/>
              </w:rPr>
              <w:t>新时期福建交巡警融合管理模式改革研究</w:t>
            </w:r>
          </w:p>
        </w:tc>
        <w:tc>
          <w:tcPr>
            <w:tcW w:w="1134" w:type="dxa"/>
            <w:noWrap/>
            <w:vAlign w:val="center"/>
          </w:tcPr>
          <w:p>
            <w:pPr>
              <w:ind w:firstLine="0" w:firstLineChars="0"/>
              <w:jc w:val="center"/>
              <w:rPr>
                <w:szCs w:val="21"/>
              </w:rPr>
            </w:pPr>
            <w:r>
              <w:rPr>
                <w:rFonts w:hint="eastAsia"/>
                <w:szCs w:val="21"/>
              </w:rPr>
              <w:t>自选项目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ign w:val="center"/>
          </w:tcPr>
          <w:p>
            <w:pPr>
              <w:ind w:firstLine="0" w:firstLineChars="0"/>
              <w:jc w:val="center"/>
              <w:rPr>
                <w:szCs w:val="21"/>
              </w:rPr>
            </w:pPr>
            <w:r>
              <w:rPr>
                <w:szCs w:val="21"/>
              </w:rPr>
              <w:t>SSRC</w:t>
            </w:r>
            <w:r>
              <w:rPr>
                <w:rFonts w:hint="eastAsia"/>
                <w:szCs w:val="21"/>
              </w:rPr>
              <w:t>2020</w:t>
            </w:r>
            <w:r>
              <w:rPr>
                <w:szCs w:val="21"/>
              </w:rPr>
              <w:t>C</w:t>
            </w:r>
            <w:r>
              <w:rPr>
                <w:rFonts w:hint="eastAsia"/>
                <w:szCs w:val="21"/>
              </w:rPr>
              <w:t>0</w:t>
            </w:r>
            <w:r>
              <w:rPr>
                <w:szCs w:val="21"/>
              </w:rPr>
              <w:t>4</w:t>
            </w:r>
          </w:p>
        </w:tc>
        <w:tc>
          <w:tcPr>
            <w:tcW w:w="851" w:type="dxa"/>
            <w:noWrap/>
            <w:vAlign w:val="center"/>
          </w:tcPr>
          <w:p>
            <w:pPr>
              <w:ind w:firstLine="0" w:firstLineChars="0"/>
              <w:jc w:val="center"/>
              <w:rPr>
                <w:szCs w:val="21"/>
              </w:rPr>
            </w:pPr>
            <w:r>
              <w:rPr>
                <w:rFonts w:hint="eastAsia"/>
                <w:szCs w:val="21"/>
              </w:rPr>
              <w:t>王海霞</w:t>
            </w:r>
          </w:p>
        </w:tc>
        <w:tc>
          <w:tcPr>
            <w:tcW w:w="4718" w:type="dxa"/>
            <w:noWrap/>
            <w:vAlign w:val="center"/>
          </w:tcPr>
          <w:p>
            <w:pPr>
              <w:ind w:firstLine="0" w:firstLineChars="0"/>
              <w:rPr>
                <w:szCs w:val="21"/>
              </w:rPr>
            </w:pPr>
            <w:r>
              <w:rPr>
                <w:rFonts w:hint="eastAsia"/>
                <w:szCs w:val="21"/>
              </w:rPr>
              <w:t>在华外佣群体之治理与恐怖主义风险防范研究</w:t>
            </w:r>
          </w:p>
        </w:tc>
        <w:tc>
          <w:tcPr>
            <w:tcW w:w="1134" w:type="dxa"/>
            <w:noWrap/>
            <w:vAlign w:val="center"/>
          </w:tcPr>
          <w:p>
            <w:pPr>
              <w:ind w:firstLine="0" w:firstLineChars="0"/>
              <w:jc w:val="center"/>
              <w:rPr>
                <w:szCs w:val="21"/>
              </w:rPr>
            </w:pPr>
            <w:r>
              <w:rPr>
                <w:rFonts w:hint="eastAsia"/>
                <w:szCs w:val="21"/>
              </w:rPr>
              <w:t>自选项目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tcBorders>
              <w:bottom w:val="single" w:color="auto" w:sz="4" w:space="0"/>
            </w:tcBorders>
            <w:noWrap/>
            <w:vAlign w:val="center"/>
          </w:tcPr>
          <w:p>
            <w:pPr>
              <w:ind w:firstLine="0" w:firstLineChars="0"/>
              <w:jc w:val="center"/>
              <w:rPr>
                <w:szCs w:val="21"/>
              </w:rPr>
            </w:pPr>
            <w:r>
              <w:rPr>
                <w:szCs w:val="21"/>
              </w:rPr>
              <w:t>SSRC</w:t>
            </w:r>
            <w:r>
              <w:rPr>
                <w:rFonts w:hint="eastAsia"/>
                <w:szCs w:val="21"/>
              </w:rPr>
              <w:t>2020</w:t>
            </w:r>
            <w:r>
              <w:rPr>
                <w:szCs w:val="21"/>
              </w:rPr>
              <w:t>C</w:t>
            </w:r>
            <w:r>
              <w:rPr>
                <w:rFonts w:hint="eastAsia"/>
                <w:szCs w:val="21"/>
              </w:rPr>
              <w:t>0</w:t>
            </w:r>
            <w:r>
              <w:rPr>
                <w:szCs w:val="21"/>
              </w:rPr>
              <w:t>5</w:t>
            </w:r>
          </w:p>
        </w:tc>
        <w:tc>
          <w:tcPr>
            <w:tcW w:w="851" w:type="dxa"/>
            <w:tcBorders>
              <w:bottom w:val="single" w:color="auto" w:sz="4" w:space="0"/>
            </w:tcBorders>
            <w:noWrap/>
            <w:vAlign w:val="center"/>
          </w:tcPr>
          <w:p>
            <w:pPr>
              <w:ind w:firstLine="0" w:firstLineChars="0"/>
              <w:jc w:val="center"/>
              <w:rPr>
                <w:szCs w:val="21"/>
              </w:rPr>
            </w:pPr>
            <w:r>
              <w:rPr>
                <w:rFonts w:hint="eastAsia"/>
                <w:szCs w:val="21"/>
              </w:rPr>
              <w:t>齐晓亮</w:t>
            </w:r>
          </w:p>
        </w:tc>
        <w:tc>
          <w:tcPr>
            <w:tcW w:w="4718" w:type="dxa"/>
            <w:tcBorders>
              <w:bottom w:val="single" w:color="auto" w:sz="4" w:space="0"/>
            </w:tcBorders>
            <w:noWrap/>
            <w:vAlign w:val="center"/>
          </w:tcPr>
          <w:p>
            <w:pPr>
              <w:ind w:firstLine="0" w:firstLineChars="0"/>
              <w:rPr>
                <w:szCs w:val="21"/>
              </w:rPr>
            </w:pPr>
            <w:r>
              <w:rPr>
                <w:rFonts w:hint="eastAsia"/>
                <w:szCs w:val="21"/>
              </w:rPr>
              <w:t>乡村振兴战略下“一村一辅警”警务机制创新研究</w:t>
            </w:r>
          </w:p>
        </w:tc>
        <w:tc>
          <w:tcPr>
            <w:tcW w:w="1134" w:type="dxa"/>
            <w:tcBorders>
              <w:bottom w:val="single" w:color="auto" w:sz="4" w:space="0"/>
            </w:tcBorders>
            <w:noWrap/>
            <w:vAlign w:val="center"/>
          </w:tcPr>
          <w:p>
            <w:pPr>
              <w:ind w:firstLine="0" w:firstLineChars="0"/>
              <w:jc w:val="center"/>
              <w:rPr>
                <w:szCs w:val="21"/>
              </w:rPr>
            </w:pPr>
            <w:r>
              <w:rPr>
                <w:rFonts w:hint="eastAsia"/>
                <w:szCs w:val="21"/>
              </w:rPr>
              <w:t>自选项目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szCs w:val="21"/>
              </w:rPr>
            </w:pPr>
            <w:r>
              <w:rPr>
                <w:szCs w:val="21"/>
              </w:rPr>
              <w:t>SSRC</w:t>
            </w:r>
            <w:r>
              <w:rPr>
                <w:rFonts w:hint="eastAsia"/>
                <w:szCs w:val="21"/>
              </w:rPr>
              <w:t>2020</w:t>
            </w:r>
            <w:r>
              <w:rPr>
                <w:szCs w:val="21"/>
              </w:rPr>
              <w:t>C</w:t>
            </w:r>
            <w:r>
              <w:rPr>
                <w:rFonts w:hint="eastAsia"/>
                <w:szCs w:val="21"/>
              </w:rPr>
              <w:t>0</w:t>
            </w:r>
            <w:r>
              <w:rPr>
                <w:szCs w:val="21"/>
              </w:rPr>
              <w:t>6</w:t>
            </w: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szCs w:val="21"/>
              </w:rPr>
            </w:pPr>
            <w:r>
              <w:rPr>
                <w:rFonts w:hint="eastAsia"/>
                <w:szCs w:val="21"/>
              </w:rPr>
              <w:t xml:space="preserve">潘 </w:t>
            </w:r>
            <w:r>
              <w:rPr>
                <w:szCs w:val="21"/>
              </w:rPr>
              <w:t xml:space="preserve"> </w:t>
            </w:r>
            <w:r>
              <w:rPr>
                <w:rFonts w:hint="eastAsia"/>
                <w:szCs w:val="21"/>
              </w:rPr>
              <w:t>霓</w:t>
            </w:r>
          </w:p>
        </w:tc>
        <w:tc>
          <w:tcPr>
            <w:tcW w:w="4718" w:type="dxa"/>
            <w:tcBorders>
              <w:top w:val="single" w:color="auto" w:sz="4" w:space="0"/>
              <w:left w:val="single" w:color="auto" w:sz="4" w:space="0"/>
              <w:bottom w:val="single" w:color="auto" w:sz="4" w:space="0"/>
              <w:right w:val="single" w:color="auto" w:sz="4" w:space="0"/>
            </w:tcBorders>
            <w:noWrap/>
            <w:vAlign w:val="center"/>
          </w:tcPr>
          <w:p>
            <w:pPr>
              <w:ind w:firstLine="0" w:firstLineChars="0"/>
              <w:rPr>
                <w:szCs w:val="21"/>
              </w:rPr>
            </w:pPr>
            <w:r>
              <w:rPr>
                <w:rFonts w:hint="eastAsia"/>
                <w:szCs w:val="21"/>
              </w:rPr>
              <w:t>少数民族地区大型民俗活动安全风险防控研究</w:t>
            </w:r>
          </w:p>
        </w:tc>
        <w:tc>
          <w:tcPr>
            <w:tcW w:w="1134"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szCs w:val="21"/>
              </w:rPr>
            </w:pPr>
            <w:r>
              <w:rPr>
                <w:rFonts w:hint="eastAsia"/>
                <w:szCs w:val="21"/>
              </w:rPr>
              <w:t>自选项目</w:t>
            </w:r>
          </w:p>
        </w:tc>
      </w:tr>
    </w:tbl>
    <w:p>
      <w:pPr>
        <w:pStyle w:val="5"/>
        <w:widowControl w:val="0"/>
        <w:spacing w:before="0" w:beforeAutospacing="0" w:after="0" w:afterAutospacing="0" w:line="560" w:lineRule="exact"/>
        <w:ind w:firstLine="643" w:firstLineChars="200"/>
        <w:jc w:val="both"/>
        <w:rPr>
          <w:rFonts w:ascii="仿宋" w:hAnsi="仿宋" w:eastAsia="仿宋"/>
          <w:b/>
          <w:bCs/>
          <w:sz w:val="32"/>
          <w:szCs w:val="32"/>
        </w:rPr>
      </w:pPr>
      <w:r>
        <w:rPr>
          <w:rFonts w:hint="eastAsia" w:ascii="仿宋" w:hAnsi="仿宋" w:eastAsia="仿宋"/>
          <w:b/>
          <w:bCs/>
          <w:sz w:val="32"/>
          <w:szCs w:val="32"/>
        </w:rPr>
        <w:t>二、注意事项</w:t>
      </w:r>
    </w:p>
    <w:p>
      <w:pPr>
        <w:pStyle w:val="5"/>
        <w:widowControl w:val="0"/>
        <w:spacing w:before="0" w:beforeAutospacing="0" w:after="0" w:afterAutospacing="0" w:line="56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1.请按照《福建省高校人文社会科学研究基地社会治安研究中心项目申请书》和《福建省高校人文社会科学研究基地社会治安研究中心项目管理办法（试行）》开展研究工作，未经同意不得变更研究人员、研究内容、研究进度和成果形式。确需变更的，须及时办理变更手续；</w:t>
      </w:r>
    </w:p>
    <w:p>
      <w:pPr>
        <w:pStyle w:val="5"/>
        <w:widowControl w:val="0"/>
        <w:spacing w:before="0" w:beforeAutospacing="0" w:after="0" w:afterAutospacing="0" w:line="56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2.项目研究成果须按“福建省高校人文社会科学研究基地社会治安研究中心项目‘项目名称’（项目编号）”的格式标明项目来源信息。如：福建省高校人文社会科学研究基地社会治安研究中心项目“台湾百年警政研究”（S</w:t>
      </w:r>
      <w:r>
        <w:rPr>
          <w:rFonts w:ascii="仿宋" w:hAnsi="仿宋" w:eastAsia="仿宋" w:cstheme="minorBidi"/>
          <w:kern w:val="2"/>
          <w:sz w:val="32"/>
          <w:szCs w:val="32"/>
        </w:rPr>
        <w:t>SRC</w:t>
      </w:r>
      <w:r>
        <w:rPr>
          <w:rFonts w:hint="eastAsia" w:ascii="仿宋" w:hAnsi="仿宋" w:eastAsia="仿宋" w:cstheme="minorBidi"/>
          <w:kern w:val="2"/>
          <w:sz w:val="32"/>
          <w:szCs w:val="32"/>
        </w:rPr>
        <w:t>2020</w:t>
      </w:r>
      <w:r>
        <w:rPr>
          <w:rFonts w:ascii="仿宋" w:hAnsi="仿宋" w:eastAsia="仿宋" w:cstheme="minorBidi"/>
          <w:kern w:val="2"/>
          <w:sz w:val="32"/>
          <w:szCs w:val="32"/>
        </w:rPr>
        <w:t>A</w:t>
      </w:r>
      <w:r>
        <w:rPr>
          <w:rFonts w:hint="eastAsia" w:ascii="仿宋" w:hAnsi="仿宋" w:eastAsia="仿宋" w:cstheme="minorBidi"/>
          <w:kern w:val="2"/>
          <w:sz w:val="32"/>
          <w:szCs w:val="32"/>
        </w:rPr>
        <w:t>01）。未按格式要求标明项目来源信息的研究成果不能作为结项成果。原则上，同一研究成果不要标注两个以上项目来源信息；</w:t>
      </w:r>
    </w:p>
    <w:p>
      <w:pPr>
        <w:pStyle w:val="5"/>
        <w:widowControl w:val="0"/>
        <w:spacing w:before="0" w:beforeAutospacing="0" w:after="0" w:afterAutospacing="0" w:line="560" w:lineRule="exact"/>
        <w:ind w:firstLine="640" w:firstLineChars="200"/>
        <w:jc w:val="both"/>
        <w:rPr>
          <w:rFonts w:hint="eastAsia" w:ascii="仿宋" w:hAnsi="仿宋" w:eastAsia="仿宋" w:cstheme="minorBidi"/>
          <w:kern w:val="2"/>
          <w:sz w:val="32"/>
          <w:szCs w:val="32"/>
        </w:rPr>
      </w:pPr>
      <w:r>
        <w:rPr>
          <w:rFonts w:hint="eastAsia" w:ascii="仿宋" w:hAnsi="仿宋" w:eastAsia="仿宋" w:cstheme="minorBidi"/>
          <w:kern w:val="2"/>
          <w:sz w:val="32"/>
          <w:szCs w:val="32"/>
        </w:rPr>
        <w:t>3.请严格按照财务规定使用资助经费，并保管好相关单据凭证；</w:t>
      </w:r>
    </w:p>
    <w:p>
      <w:pPr>
        <w:pStyle w:val="5"/>
        <w:widowControl w:val="0"/>
        <w:spacing w:before="0" w:beforeAutospacing="0" w:after="0" w:afterAutospacing="0" w:line="560" w:lineRule="exact"/>
        <w:ind w:firstLine="640" w:firstLineChars="200"/>
        <w:jc w:val="both"/>
        <w:rPr>
          <w:rFonts w:hint="eastAsia" w:ascii="仿宋" w:hAnsi="仿宋" w:eastAsia="仿宋" w:cstheme="minorBidi"/>
          <w:kern w:val="2"/>
          <w:sz w:val="32"/>
          <w:szCs w:val="32"/>
        </w:rPr>
      </w:pPr>
      <w:r>
        <w:rPr>
          <w:rFonts w:hint="eastAsia" w:ascii="仿宋" w:hAnsi="仿宋" w:eastAsia="仿宋" w:cstheme="minorBidi"/>
          <w:kern w:val="2"/>
          <w:sz w:val="32"/>
          <w:szCs w:val="32"/>
        </w:rPr>
        <w:t>4.项目研究中期须向福建省高校人文社会科学研究基地社会治安研究中心报告项目研究进展情况；</w:t>
      </w:r>
    </w:p>
    <w:p>
      <w:pPr>
        <w:pStyle w:val="5"/>
        <w:widowControl w:val="0"/>
        <w:spacing w:before="0" w:beforeAutospacing="0" w:after="0" w:afterAutospacing="0" w:line="560" w:lineRule="exact"/>
        <w:ind w:firstLine="640" w:firstLineChars="200"/>
        <w:jc w:val="both"/>
        <w:rPr>
          <w:rFonts w:hint="eastAsia" w:ascii="仿宋" w:hAnsi="仿宋" w:eastAsia="仿宋" w:cstheme="minorBidi"/>
          <w:kern w:val="2"/>
          <w:sz w:val="32"/>
          <w:szCs w:val="32"/>
        </w:rPr>
      </w:pPr>
      <w:r>
        <w:rPr>
          <w:rFonts w:ascii="仿宋" w:hAnsi="仿宋" w:eastAsia="仿宋" w:cstheme="minorBidi"/>
          <w:kern w:val="2"/>
          <w:sz w:val="32"/>
          <w:szCs w:val="32"/>
        </w:rPr>
        <w:t>5.</w:t>
      </w:r>
      <w:r>
        <w:rPr>
          <w:rFonts w:hint="eastAsia" w:ascii="仿宋" w:hAnsi="仿宋" w:eastAsia="仿宋" w:cstheme="minorBidi"/>
          <w:kern w:val="2"/>
          <w:sz w:val="32"/>
          <w:szCs w:val="32"/>
        </w:rPr>
        <w:t>研究任务完成后请及时按照有关规定办理结项工作。</w:t>
      </w:r>
    </w:p>
    <w:p>
      <w:pPr>
        <w:pStyle w:val="5"/>
        <w:widowControl w:val="0"/>
        <w:spacing w:before="0" w:beforeAutospacing="0" w:after="0" w:afterAutospacing="0" w:line="560" w:lineRule="exact"/>
        <w:ind w:firstLine="640" w:firstLineChars="200"/>
        <w:jc w:val="both"/>
        <w:rPr>
          <w:rFonts w:ascii="仿宋" w:hAnsi="仿宋" w:eastAsia="仿宋" w:cstheme="minorBidi"/>
          <w:kern w:val="2"/>
          <w:sz w:val="32"/>
          <w:szCs w:val="32"/>
        </w:rPr>
      </w:pPr>
    </w:p>
    <w:p>
      <w:pPr>
        <w:pStyle w:val="5"/>
        <w:widowControl w:val="0"/>
        <w:spacing w:before="0" w:beforeAutospacing="0" w:after="0" w:afterAutospacing="0" w:line="560" w:lineRule="exact"/>
        <w:ind w:right="288"/>
        <w:jc w:val="both"/>
        <w:rPr>
          <w:rFonts w:ascii="仿宋" w:hAnsi="仿宋" w:eastAsia="仿宋"/>
          <w:spacing w:val="-6"/>
          <w:sz w:val="32"/>
          <w:szCs w:val="32"/>
        </w:rPr>
      </w:pPr>
    </w:p>
    <w:p>
      <w:pPr>
        <w:pStyle w:val="5"/>
        <w:widowControl w:val="0"/>
        <w:spacing w:before="0" w:beforeAutospacing="0" w:after="0" w:afterAutospacing="0" w:line="560" w:lineRule="exact"/>
        <w:ind w:right="288"/>
        <w:jc w:val="both"/>
        <w:rPr>
          <w:rFonts w:ascii="仿宋" w:hAnsi="仿宋" w:eastAsia="仿宋"/>
          <w:spacing w:val="-6"/>
          <w:sz w:val="32"/>
          <w:szCs w:val="32"/>
        </w:rPr>
      </w:pPr>
    </w:p>
    <w:p>
      <w:pPr>
        <w:pStyle w:val="5"/>
        <w:widowControl w:val="0"/>
        <w:spacing w:before="0" w:beforeAutospacing="0" w:after="0" w:afterAutospacing="0" w:line="560" w:lineRule="exact"/>
        <w:ind w:right="288"/>
        <w:jc w:val="both"/>
        <w:rPr>
          <w:rFonts w:ascii="仿宋" w:hAnsi="仿宋" w:eastAsia="仿宋"/>
          <w:spacing w:val="-6"/>
          <w:sz w:val="32"/>
          <w:szCs w:val="32"/>
        </w:rPr>
      </w:pPr>
    </w:p>
    <w:p>
      <w:pPr>
        <w:pStyle w:val="5"/>
        <w:widowControl w:val="0"/>
        <w:wordWrap w:val="0"/>
        <w:spacing w:before="0" w:beforeAutospacing="0" w:after="0" w:afterAutospacing="0" w:line="560" w:lineRule="exact"/>
        <w:ind w:left="1681" w:right="288"/>
        <w:jc w:val="right"/>
        <w:rPr>
          <w:rFonts w:ascii="仿宋" w:hAnsi="仿宋" w:eastAsia="仿宋" w:cs="仿宋"/>
          <w:sz w:val="32"/>
          <w:szCs w:val="32"/>
        </w:rPr>
      </w:pPr>
      <w:r>
        <w:rPr>
          <w:rFonts w:hint="eastAsia" w:ascii="仿宋" w:hAnsi="仿宋" w:eastAsia="仿宋" w:cs="仿宋"/>
          <w:sz w:val="32"/>
          <w:szCs w:val="32"/>
        </w:rPr>
        <w:t xml:space="preserve">福建警察学院 </w:t>
      </w:r>
      <w:r>
        <w:rPr>
          <w:rFonts w:ascii="仿宋" w:hAnsi="仿宋" w:eastAsia="仿宋" w:cs="仿宋"/>
          <w:sz w:val="32"/>
          <w:szCs w:val="32"/>
        </w:rPr>
        <w:t xml:space="preserve">  </w:t>
      </w:r>
    </w:p>
    <w:p>
      <w:pPr>
        <w:pStyle w:val="5"/>
        <w:widowControl w:val="0"/>
        <w:spacing w:before="0" w:beforeAutospacing="0" w:after="0" w:afterAutospacing="0" w:line="560" w:lineRule="exact"/>
        <w:ind w:left="1681" w:right="288"/>
        <w:jc w:val="right"/>
        <w:rPr>
          <w:rFonts w:ascii="仿宋" w:hAnsi="仿宋" w:eastAsia="仿宋" w:cs="仿宋"/>
          <w:sz w:val="32"/>
          <w:szCs w:val="32"/>
        </w:rPr>
      </w:pPr>
      <w:r>
        <w:rPr>
          <w:rFonts w:hint="eastAsia" w:ascii="仿宋" w:hAnsi="仿宋" w:eastAsia="仿宋" w:cs="仿宋"/>
          <w:sz w:val="32"/>
          <w:szCs w:val="32"/>
        </w:rPr>
        <w:t>2020年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20</w:t>
      </w:r>
      <w:r>
        <w:rPr>
          <w:rFonts w:hint="eastAsia" w:ascii="仿宋" w:hAnsi="仿宋" w:eastAsia="仿宋" w:cs="仿宋"/>
          <w:sz w:val="32"/>
          <w:szCs w:val="32"/>
        </w:rPr>
        <w:t>日</w:t>
      </w:r>
      <w:r>
        <w:rPr>
          <w:rFonts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30D8F"/>
    <w:rsid w:val="000017B1"/>
    <w:rsid w:val="00005399"/>
    <w:rsid w:val="00012BD3"/>
    <w:rsid w:val="000167FF"/>
    <w:rsid w:val="0002301A"/>
    <w:rsid w:val="00024594"/>
    <w:rsid w:val="000259F1"/>
    <w:rsid w:val="00025B7B"/>
    <w:rsid w:val="000352C0"/>
    <w:rsid w:val="000400F3"/>
    <w:rsid w:val="00044250"/>
    <w:rsid w:val="00066F6E"/>
    <w:rsid w:val="00067592"/>
    <w:rsid w:val="00075F00"/>
    <w:rsid w:val="00076335"/>
    <w:rsid w:val="00082111"/>
    <w:rsid w:val="00083720"/>
    <w:rsid w:val="00092F8E"/>
    <w:rsid w:val="000A1E62"/>
    <w:rsid w:val="000B6410"/>
    <w:rsid w:val="000B779D"/>
    <w:rsid w:val="000C2980"/>
    <w:rsid w:val="000C338E"/>
    <w:rsid w:val="000C7875"/>
    <w:rsid w:val="000D1684"/>
    <w:rsid w:val="000D5ADE"/>
    <w:rsid w:val="000E0A4E"/>
    <w:rsid w:val="000F2846"/>
    <w:rsid w:val="00101E30"/>
    <w:rsid w:val="00102646"/>
    <w:rsid w:val="001059FA"/>
    <w:rsid w:val="00113EDC"/>
    <w:rsid w:val="00151CB8"/>
    <w:rsid w:val="0015232A"/>
    <w:rsid w:val="00174C65"/>
    <w:rsid w:val="001A1906"/>
    <w:rsid w:val="001A2103"/>
    <w:rsid w:val="001A7140"/>
    <w:rsid w:val="001B6562"/>
    <w:rsid w:val="001D3399"/>
    <w:rsid w:val="001E7FB0"/>
    <w:rsid w:val="001F530A"/>
    <w:rsid w:val="00200963"/>
    <w:rsid w:val="002049ED"/>
    <w:rsid w:val="00210812"/>
    <w:rsid w:val="002137D7"/>
    <w:rsid w:val="00235830"/>
    <w:rsid w:val="002516A7"/>
    <w:rsid w:val="00297D71"/>
    <w:rsid w:val="002A323E"/>
    <w:rsid w:val="002C15FB"/>
    <w:rsid w:val="002D2585"/>
    <w:rsid w:val="002D2D6E"/>
    <w:rsid w:val="002E2DCF"/>
    <w:rsid w:val="002E303D"/>
    <w:rsid w:val="00306841"/>
    <w:rsid w:val="00324C02"/>
    <w:rsid w:val="00335D57"/>
    <w:rsid w:val="00353E0A"/>
    <w:rsid w:val="00363BE1"/>
    <w:rsid w:val="003646E3"/>
    <w:rsid w:val="003658EB"/>
    <w:rsid w:val="00367914"/>
    <w:rsid w:val="00371D71"/>
    <w:rsid w:val="00377A64"/>
    <w:rsid w:val="00385961"/>
    <w:rsid w:val="00386369"/>
    <w:rsid w:val="00397816"/>
    <w:rsid w:val="003A0326"/>
    <w:rsid w:val="003A2E70"/>
    <w:rsid w:val="003A6EE6"/>
    <w:rsid w:val="003B1CE6"/>
    <w:rsid w:val="003E0645"/>
    <w:rsid w:val="00410146"/>
    <w:rsid w:val="0041154B"/>
    <w:rsid w:val="004143B5"/>
    <w:rsid w:val="00416A20"/>
    <w:rsid w:val="00420076"/>
    <w:rsid w:val="00427620"/>
    <w:rsid w:val="00431F20"/>
    <w:rsid w:val="00444513"/>
    <w:rsid w:val="00446843"/>
    <w:rsid w:val="0044775E"/>
    <w:rsid w:val="00462A3E"/>
    <w:rsid w:val="00466CCC"/>
    <w:rsid w:val="00476902"/>
    <w:rsid w:val="00487B44"/>
    <w:rsid w:val="004A0426"/>
    <w:rsid w:val="004A3149"/>
    <w:rsid w:val="004B1F85"/>
    <w:rsid w:val="004B60A2"/>
    <w:rsid w:val="004D2B7C"/>
    <w:rsid w:val="004D66B0"/>
    <w:rsid w:val="004F5BE8"/>
    <w:rsid w:val="0055654F"/>
    <w:rsid w:val="00562907"/>
    <w:rsid w:val="00567868"/>
    <w:rsid w:val="00567EC1"/>
    <w:rsid w:val="00591CEA"/>
    <w:rsid w:val="00593416"/>
    <w:rsid w:val="00594452"/>
    <w:rsid w:val="005A6137"/>
    <w:rsid w:val="005B258E"/>
    <w:rsid w:val="005C6503"/>
    <w:rsid w:val="005C74FD"/>
    <w:rsid w:val="005E139C"/>
    <w:rsid w:val="005E18D5"/>
    <w:rsid w:val="00617C86"/>
    <w:rsid w:val="0062550E"/>
    <w:rsid w:val="0063694D"/>
    <w:rsid w:val="006504EE"/>
    <w:rsid w:val="0065711E"/>
    <w:rsid w:val="00673160"/>
    <w:rsid w:val="00692795"/>
    <w:rsid w:val="00692CDE"/>
    <w:rsid w:val="006976AD"/>
    <w:rsid w:val="006B7074"/>
    <w:rsid w:val="006C178E"/>
    <w:rsid w:val="006C37F2"/>
    <w:rsid w:val="006E4CA3"/>
    <w:rsid w:val="007139A1"/>
    <w:rsid w:val="00714C4D"/>
    <w:rsid w:val="007326FA"/>
    <w:rsid w:val="0073290D"/>
    <w:rsid w:val="00734704"/>
    <w:rsid w:val="00735775"/>
    <w:rsid w:val="00772030"/>
    <w:rsid w:val="0078101B"/>
    <w:rsid w:val="00784E4D"/>
    <w:rsid w:val="00791773"/>
    <w:rsid w:val="007B1E6C"/>
    <w:rsid w:val="007D043C"/>
    <w:rsid w:val="00800E2D"/>
    <w:rsid w:val="00822915"/>
    <w:rsid w:val="00825D36"/>
    <w:rsid w:val="0084129C"/>
    <w:rsid w:val="00845495"/>
    <w:rsid w:val="0084609F"/>
    <w:rsid w:val="008470C0"/>
    <w:rsid w:val="00853B9F"/>
    <w:rsid w:val="008565F8"/>
    <w:rsid w:val="00877901"/>
    <w:rsid w:val="0088314A"/>
    <w:rsid w:val="00884A30"/>
    <w:rsid w:val="00887456"/>
    <w:rsid w:val="008B2FFF"/>
    <w:rsid w:val="008C211B"/>
    <w:rsid w:val="008C3401"/>
    <w:rsid w:val="008D1130"/>
    <w:rsid w:val="008D5F46"/>
    <w:rsid w:val="008E2C97"/>
    <w:rsid w:val="008E4447"/>
    <w:rsid w:val="00917A93"/>
    <w:rsid w:val="00921601"/>
    <w:rsid w:val="00923EF8"/>
    <w:rsid w:val="00932B62"/>
    <w:rsid w:val="009469AB"/>
    <w:rsid w:val="00947143"/>
    <w:rsid w:val="0096638F"/>
    <w:rsid w:val="00991E5A"/>
    <w:rsid w:val="009A0DED"/>
    <w:rsid w:val="009A64C1"/>
    <w:rsid w:val="009B4D6E"/>
    <w:rsid w:val="009D1768"/>
    <w:rsid w:val="009F6B48"/>
    <w:rsid w:val="00A02061"/>
    <w:rsid w:val="00A113D3"/>
    <w:rsid w:val="00A31B49"/>
    <w:rsid w:val="00A40B08"/>
    <w:rsid w:val="00A56128"/>
    <w:rsid w:val="00A61A7F"/>
    <w:rsid w:val="00A672AC"/>
    <w:rsid w:val="00A974F8"/>
    <w:rsid w:val="00A97504"/>
    <w:rsid w:val="00AA0695"/>
    <w:rsid w:val="00AA10C2"/>
    <w:rsid w:val="00AB0D2D"/>
    <w:rsid w:val="00AC2712"/>
    <w:rsid w:val="00AD46E1"/>
    <w:rsid w:val="00AE1669"/>
    <w:rsid w:val="00AF3FB2"/>
    <w:rsid w:val="00AF4375"/>
    <w:rsid w:val="00AF7090"/>
    <w:rsid w:val="00B214C4"/>
    <w:rsid w:val="00B53659"/>
    <w:rsid w:val="00B602C2"/>
    <w:rsid w:val="00B618A1"/>
    <w:rsid w:val="00B7568F"/>
    <w:rsid w:val="00B827F2"/>
    <w:rsid w:val="00B831A9"/>
    <w:rsid w:val="00B83253"/>
    <w:rsid w:val="00BA7DDA"/>
    <w:rsid w:val="00BC34B7"/>
    <w:rsid w:val="00BC3CAB"/>
    <w:rsid w:val="00BD26F8"/>
    <w:rsid w:val="00BD293C"/>
    <w:rsid w:val="00BD38AD"/>
    <w:rsid w:val="00BD4B45"/>
    <w:rsid w:val="00BE4A9B"/>
    <w:rsid w:val="00BE5799"/>
    <w:rsid w:val="00BE72A2"/>
    <w:rsid w:val="00BF004A"/>
    <w:rsid w:val="00C41452"/>
    <w:rsid w:val="00C4429D"/>
    <w:rsid w:val="00C53A3B"/>
    <w:rsid w:val="00C55835"/>
    <w:rsid w:val="00C61951"/>
    <w:rsid w:val="00C62366"/>
    <w:rsid w:val="00C64E9F"/>
    <w:rsid w:val="00C67206"/>
    <w:rsid w:val="00C852FA"/>
    <w:rsid w:val="00C867D7"/>
    <w:rsid w:val="00C87464"/>
    <w:rsid w:val="00C92EF5"/>
    <w:rsid w:val="00CA0322"/>
    <w:rsid w:val="00CB6E7E"/>
    <w:rsid w:val="00CC50CB"/>
    <w:rsid w:val="00CD2626"/>
    <w:rsid w:val="00CD27F7"/>
    <w:rsid w:val="00CF357F"/>
    <w:rsid w:val="00D00231"/>
    <w:rsid w:val="00D042AA"/>
    <w:rsid w:val="00D05500"/>
    <w:rsid w:val="00D23695"/>
    <w:rsid w:val="00D273F6"/>
    <w:rsid w:val="00D3100C"/>
    <w:rsid w:val="00D31843"/>
    <w:rsid w:val="00D3260D"/>
    <w:rsid w:val="00D35FC3"/>
    <w:rsid w:val="00D41BA0"/>
    <w:rsid w:val="00D46E95"/>
    <w:rsid w:val="00D47FD6"/>
    <w:rsid w:val="00D552F0"/>
    <w:rsid w:val="00D83694"/>
    <w:rsid w:val="00D92C51"/>
    <w:rsid w:val="00DA62E3"/>
    <w:rsid w:val="00DB7439"/>
    <w:rsid w:val="00DC5F9E"/>
    <w:rsid w:val="00DC7546"/>
    <w:rsid w:val="00DD4EA8"/>
    <w:rsid w:val="00DD6BA5"/>
    <w:rsid w:val="00E028F1"/>
    <w:rsid w:val="00E051D8"/>
    <w:rsid w:val="00E13D94"/>
    <w:rsid w:val="00E15DB2"/>
    <w:rsid w:val="00E1738A"/>
    <w:rsid w:val="00E33BB7"/>
    <w:rsid w:val="00E57D0A"/>
    <w:rsid w:val="00E73B12"/>
    <w:rsid w:val="00E82E0B"/>
    <w:rsid w:val="00E87053"/>
    <w:rsid w:val="00EA0891"/>
    <w:rsid w:val="00EA6D59"/>
    <w:rsid w:val="00EC3BC3"/>
    <w:rsid w:val="00EC713E"/>
    <w:rsid w:val="00ED000B"/>
    <w:rsid w:val="00ED4874"/>
    <w:rsid w:val="00ED5F86"/>
    <w:rsid w:val="00EE5F59"/>
    <w:rsid w:val="00F00C29"/>
    <w:rsid w:val="00F141C4"/>
    <w:rsid w:val="00F258E4"/>
    <w:rsid w:val="00F5353E"/>
    <w:rsid w:val="00F53A55"/>
    <w:rsid w:val="00F622B3"/>
    <w:rsid w:val="00F923BE"/>
    <w:rsid w:val="00F95ED1"/>
    <w:rsid w:val="00F96A43"/>
    <w:rsid w:val="00FA34E9"/>
    <w:rsid w:val="00FA63EC"/>
    <w:rsid w:val="00FB18E0"/>
    <w:rsid w:val="00FD33F4"/>
    <w:rsid w:val="00FF4E31"/>
    <w:rsid w:val="41230D8F"/>
    <w:rsid w:val="4A932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pPr>
      <w:ind w:firstLine="200" w:firstLineChars="200"/>
      <w:jc w:val="both"/>
    </w:pPr>
    <w:rPr>
      <w:rFonts w:asciiTheme="minorHAnsi" w:hAnsiTheme="minorHAnsi" w:cstheme="minorBidi"/>
      <w:kern w:val="2"/>
      <w:sz w:val="24"/>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0"/>
    <w:rPr>
      <w:rFonts w:asciiTheme="minorHAnsi" w:hAnsiTheme="minorHAnsi" w:eastAsiaTheme="minorEastAsia" w:cstheme="minorBidi"/>
      <w:kern w:val="2"/>
      <w:sz w:val="18"/>
      <w:szCs w:val="18"/>
    </w:rPr>
  </w:style>
  <w:style w:type="character" w:customStyle="1" w:styleId="10">
    <w:name w:val="页脚 字符"/>
    <w:basedOn w:val="8"/>
    <w:link w:val="3"/>
    <w:qFormat/>
    <w:uiPriority w:val="0"/>
    <w:rPr>
      <w:rFonts w:asciiTheme="minorHAnsi" w:hAnsiTheme="minorHAnsi" w:eastAsiaTheme="minorEastAsia" w:cstheme="minorBidi"/>
      <w:kern w:val="2"/>
      <w:sz w:val="18"/>
      <w:szCs w:val="18"/>
    </w:rPr>
  </w:style>
  <w:style w:type="character" w:customStyle="1" w:styleId="11">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200</Words>
  <Characters>1140</Characters>
  <Lines>9</Lines>
  <Paragraphs>2</Paragraphs>
  <TotalTime>338</TotalTime>
  <ScaleCrop>false</ScaleCrop>
  <LinksUpToDate>false</LinksUpToDate>
  <CharactersWithSpaces>1338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2020-04-13T01:29:00Z</dcterms:created>
  <dc:creator>陈鱼丸不可以玩</dc:creator>
  <cp:lastModifiedBy>SJ</cp:lastModifiedBy>
  <cp:lastPrinted>2020-11-02T02:30:00Z</cp:lastPrinted>
  <dcterms:modified xsi:type="dcterms:W3CDTF">2021-11-30T02:53:13Z</dcterms:modified>
  <cp:revision>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8A16288F46594E549E4F27BC413D3936</vt:lpwstr>
  </property>
</Properties>
</file>